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2"/>
        <w:tblpPr w:leftFromText="141" w:rightFromText="141" w:vertAnchor="text" w:horzAnchor="margin" w:tblpY="-64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6FDF" w:rsidRPr="00265AE9" w14:paraId="231BE64C" w14:textId="77777777" w:rsidTr="00EA474B">
        <w:tc>
          <w:tcPr>
            <w:tcW w:w="9062" w:type="dxa"/>
            <w:shd w:val="clear" w:color="auto" w:fill="808080" w:themeFill="background1" w:themeFillShade="80"/>
          </w:tcPr>
          <w:p w14:paraId="3515DF15" w14:textId="054AB3D2" w:rsidR="00DC6FDF" w:rsidRPr="00265AE9" w:rsidRDefault="00DC6FDF" w:rsidP="00EA474B">
            <w:pPr>
              <w:spacing w:before="120" w:after="120" w:line="27" w:lineRule="atLeast"/>
              <w:rPr>
                <w:rFonts w:ascii="Titillium" w:hAnsi="Titillium"/>
                <w:b/>
                <w:color w:val="FFFFFF" w:themeColor="background1"/>
                <w:sz w:val="20"/>
                <w:szCs w:val="20"/>
                <w:lang w:val="nl-BE"/>
              </w:rPr>
            </w:pPr>
            <w:r w:rsidRPr="00265AE9">
              <w:rPr>
                <w:rFonts w:ascii="Titillium" w:hAnsi="Titillium"/>
                <w:b/>
                <w:color w:val="FFFFFF" w:themeColor="background1"/>
                <w:sz w:val="20"/>
                <w:szCs w:val="20"/>
                <w:lang w:val="nl-BE"/>
              </w:rPr>
              <w:t xml:space="preserve">FUNCTIEBESCHRIJVING GASTHEER- of DAME </w:t>
            </w:r>
            <w:r w:rsidR="006B182B">
              <w:rPr>
                <w:rFonts w:ascii="Titillium" w:hAnsi="Titillium"/>
                <w:b/>
                <w:color w:val="FFFFFF" w:themeColor="background1"/>
                <w:sz w:val="20"/>
                <w:szCs w:val="20"/>
                <w:lang w:val="nl-BE"/>
              </w:rPr>
              <w:t>BRUEGELHOEVE VORSELAAR</w:t>
            </w:r>
          </w:p>
        </w:tc>
      </w:tr>
      <w:tr w:rsidR="00DC6FDF" w:rsidRPr="00265AE9" w14:paraId="4CC18E34" w14:textId="77777777" w:rsidTr="00EA474B">
        <w:tc>
          <w:tcPr>
            <w:tcW w:w="9062" w:type="dxa"/>
          </w:tcPr>
          <w:p w14:paraId="005EB7E5" w14:textId="4CEF658A" w:rsidR="00DC6FDF" w:rsidRPr="00265AE9" w:rsidRDefault="00DC6FDF" w:rsidP="00EA474B">
            <w:pPr>
              <w:spacing w:line="27" w:lineRule="atLeast"/>
              <w:rPr>
                <w:rFonts w:ascii="Titillium" w:hAnsi="Titillium"/>
                <w:b/>
                <w:sz w:val="20"/>
                <w:szCs w:val="20"/>
                <w:lang w:val="nl-BE"/>
              </w:rPr>
            </w:pPr>
            <w:r w:rsidRPr="00265AE9">
              <w:rPr>
                <w:rFonts w:ascii="Titillium" w:hAnsi="Titillium"/>
                <w:b/>
                <w:sz w:val="20"/>
                <w:szCs w:val="20"/>
                <w:lang w:val="nl-BE"/>
              </w:rPr>
              <w:t xml:space="preserve">Functie: Gastheer of -dame </w:t>
            </w:r>
            <w:r w:rsidR="006B182B">
              <w:rPr>
                <w:rFonts w:ascii="Titillium" w:hAnsi="Titillium"/>
                <w:b/>
                <w:sz w:val="20"/>
                <w:szCs w:val="20"/>
                <w:lang w:val="nl-BE"/>
              </w:rPr>
              <w:t>Bruegelhoeve</w:t>
            </w:r>
            <w:r>
              <w:rPr>
                <w:rFonts w:ascii="Titillium" w:hAnsi="Titillium"/>
                <w:b/>
                <w:sz w:val="20"/>
                <w:szCs w:val="20"/>
                <w:lang w:val="nl-BE"/>
              </w:rPr>
              <w:t xml:space="preserve"> </w:t>
            </w:r>
            <w:r w:rsidRPr="00265AE9">
              <w:rPr>
                <w:rFonts w:ascii="Titillium" w:hAnsi="Titillium"/>
                <w:b/>
                <w:sz w:val="20"/>
                <w:szCs w:val="20"/>
                <w:lang w:val="nl-BE"/>
              </w:rPr>
              <w:t>Vorselaar (deeltijds)</w:t>
            </w:r>
          </w:p>
        </w:tc>
      </w:tr>
      <w:tr w:rsidR="00DC6FDF" w:rsidRPr="00265AE9" w14:paraId="1DF45650" w14:textId="77777777" w:rsidTr="00EA474B">
        <w:tc>
          <w:tcPr>
            <w:tcW w:w="9062" w:type="dxa"/>
            <w:shd w:val="clear" w:color="auto" w:fill="BFBFBF" w:themeFill="background1" w:themeFillShade="BF"/>
          </w:tcPr>
          <w:p w14:paraId="38793BB5" w14:textId="77777777" w:rsidR="00DC6FDF" w:rsidRPr="00265AE9" w:rsidRDefault="00DC6FDF" w:rsidP="00EA474B">
            <w:pPr>
              <w:spacing w:before="120" w:after="120" w:line="27" w:lineRule="atLeast"/>
              <w:rPr>
                <w:rFonts w:ascii="Titillium" w:hAnsi="Titillium"/>
                <w:sz w:val="20"/>
                <w:szCs w:val="20"/>
                <w:lang w:val="nl-BE"/>
              </w:rPr>
            </w:pPr>
            <w:r w:rsidRPr="00265AE9">
              <w:rPr>
                <w:rFonts w:ascii="Titillium" w:hAnsi="Titillium"/>
                <w:sz w:val="20"/>
                <w:szCs w:val="20"/>
                <w:lang w:val="nl-BE"/>
              </w:rPr>
              <w:t>TAKEN EN RESULTATEN</w:t>
            </w:r>
          </w:p>
        </w:tc>
      </w:tr>
      <w:tr w:rsidR="00DC6FDF" w:rsidRPr="00265AE9" w14:paraId="323DF6E6" w14:textId="77777777" w:rsidTr="00EA474B">
        <w:tc>
          <w:tcPr>
            <w:tcW w:w="9062" w:type="dxa"/>
            <w:shd w:val="clear" w:color="auto" w:fill="D9D9D9" w:themeFill="background1" w:themeFillShade="D9"/>
          </w:tcPr>
          <w:p w14:paraId="41A00072" w14:textId="77777777" w:rsidR="00DC6FDF" w:rsidRPr="00265AE9" w:rsidRDefault="00DC6FDF" w:rsidP="00EA474B">
            <w:pPr>
              <w:spacing w:before="120" w:after="120" w:line="27" w:lineRule="atLeast"/>
              <w:rPr>
                <w:rFonts w:ascii="Titillium" w:hAnsi="Titillium"/>
                <w:b/>
                <w:sz w:val="20"/>
                <w:szCs w:val="20"/>
                <w:lang w:val="nl-BE"/>
              </w:rPr>
            </w:pPr>
            <w:r w:rsidRPr="00265AE9">
              <w:rPr>
                <w:rFonts w:ascii="Titillium" w:hAnsi="Titillium"/>
                <w:b/>
                <w:sz w:val="20"/>
                <w:szCs w:val="20"/>
                <w:lang w:val="nl-BE"/>
              </w:rPr>
              <w:t>Onthaal publiek</w:t>
            </w:r>
          </w:p>
        </w:tc>
      </w:tr>
      <w:tr w:rsidR="00DC6FDF" w:rsidRPr="00265AE9" w14:paraId="3DB6112F" w14:textId="77777777" w:rsidTr="00EA474B">
        <w:tc>
          <w:tcPr>
            <w:tcW w:w="9062" w:type="dxa"/>
          </w:tcPr>
          <w:p w14:paraId="0E359519" w14:textId="77777777" w:rsidR="00DC6FDF" w:rsidRDefault="00DC6FDF" w:rsidP="00DC6FDF">
            <w:pPr>
              <w:numPr>
                <w:ilvl w:val="0"/>
                <w:numId w:val="4"/>
              </w:numPr>
              <w:spacing w:after="0" w:line="27" w:lineRule="atLeast"/>
              <w:contextualSpacing/>
              <w:rPr>
                <w:rFonts w:ascii="Titillium" w:hAnsi="Titillium"/>
                <w:sz w:val="20"/>
                <w:szCs w:val="20"/>
                <w:lang w:val="nl-BE"/>
              </w:rPr>
            </w:pPr>
            <w:r>
              <w:rPr>
                <w:rFonts w:ascii="Titillium" w:hAnsi="Titillium"/>
                <w:sz w:val="20"/>
                <w:szCs w:val="20"/>
                <w:lang w:val="nl-BE"/>
              </w:rPr>
              <w:t>biedt bezoekers een warm welkom;</w:t>
            </w:r>
          </w:p>
          <w:p w14:paraId="4348A48D" w14:textId="3E5B8328" w:rsidR="00DC6FDF" w:rsidRDefault="00DC6FDF" w:rsidP="00DC6FDF">
            <w:pPr>
              <w:numPr>
                <w:ilvl w:val="0"/>
                <w:numId w:val="4"/>
              </w:numPr>
              <w:spacing w:after="0" w:line="27" w:lineRule="atLeast"/>
              <w:contextualSpacing/>
              <w:rPr>
                <w:rFonts w:ascii="Titillium" w:hAnsi="Titillium"/>
                <w:sz w:val="20"/>
                <w:szCs w:val="20"/>
                <w:lang w:val="nl-BE"/>
              </w:rPr>
            </w:pPr>
            <w:r w:rsidRPr="00265AE9">
              <w:rPr>
                <w:rFonts w:ascii="Titillium" w:hAnsi="Titillium"/>
                <w:sz w:val="20"/>
                <w:szCs w:val="20"/>
                <w:lang w:val="nl-BE"/>
              </w:rPr>
              <w:t xml:space="preserve">informeert de bezoekers helder en efficiënt over </w:t>
            </w:r>
            <w:r w:rsidR="006B182B">
              <w:rPr>
                <w:rFonts w:ascii="Titillium" w:hAnsi="Titillium"/>
                <w:sz w:val="20"/>
                <w:szCs w:val="20"/>
                <w:lang w:val="nl-BE"/>
              </w:rPr>
              <w:t xml:space="preserve">de link tussen Bokrijk en Pieter Bruegel de Oude </w:t>
            </w:r>
            <w:r w:rsidRPr="00265AE9">
              <w:rPr>
                <w:rFonts w:ascii="Titillium" w:hAnsi="Titillium"/>
                <w:sz w:val="20"/>
                <w:szCs w:val="20"/>
                <w:lang w:val="nl-BE"/>
              </w:rPr>
              <w:t xml:space="preserve">algemeen en over de </w:t>
            </w:r>
            <w:r>
              <w:rPr>
                <w:rFonts w:ascii="Titillium" w:hAnsi="Titillium"/>
                <w:sz w:val="20"/>
                <w:szCs w:val="20"/>
                <w:lang w:val="nl-BE"/>
              </w:rPr>
              <w:t>programmatie</w:t>
            </w:r>
            <w:r w:rsidRPr="00265AE9">
              <w:rPr>
                <w:rFonts w:ascii="Titillium" w:hAnsi="Titillium"/>
                <w:sz w:val="20"/>
                <w:szCs w:val="20"/>
                <w:lang w:val="nl-BE"/>
              </w:rPr>
              <w:t xml:space="preserve"> in Vorselaar (wat is er te zien en te doen?);</w:t>
            </w:r>
          </w:p>
          <w:p w14:paraId="54DD9967" w14:textId="77777777" w:rsidR="00DC6FDF" w:rsidRDefault="00DC6FDF" w:rsidP="00DC6FDF">
            <w:pPr>
              <w:numPr>
                <w:ilvl w:val="0"/>
                <w:numId w:val="4"/>
              </w:numPr>
              <w:spacing w:after="0" w:line="27" w:lineRule="atLeast"/>
              <w:contextualSpacing/>
              <w:rPr>
                <w:rFonts w:ascii="Titillium" w:hAnsi="Titillium"/>
                <w:sz w:val="20"/>
                <w:szCs w:val="20"/>
                <w:lang w:val="nl-BE"/>
              </w:rPr>
            </w:pPr>
            <w:r>
              <w:rPr>
                <w:rFonts w:ascii="Titillium" w:hAnsi="Titillium"/>
                <w:sz w:val="20"/>
                <w:szCs w:val="20"/>
                <w:lang w:val="nl-BE"/>
              </w:rPr>
              <w:t>ondersteunt de bezoekers bij het spelen van het game (attenderen op het game, tips bij het gamen);</w:t>
            </w:r>
          </w:p>
          <w:p w14:paraId="5452D8A3" w14:textId="77777777" w:rsidR="00DC6FDF" w:rsidRPr="00265AE9" w:rsidRDefault="00DC6FDF" w:rsidP="00DC6FDF">
            <w:pPr>
              <w:numPr>
                <w:ilvl w:val="0"/>
                <w:numId w:val="4"/>
              </w:numPr>
              <w:spacing w:after="0" w:line="27" w:lineRule="atLeast"/>
              <w:contextualSpacing/>
              <w:rPr>
                <w:rFonts w:ascii="Titillium" w:hAnsi="Titillium"/>
                <w:sz w:val="20"/>
                <w:szCs w:val="20"/>
                <w:lang w:val="nl-BE"/>
              </w:rPr>
            </w:pPr>
            <w:r>
              <w:rPr>
                <w:rFonts w:ascii="Titillium" w:hAnsi="Titillium"/>
                <w:sz w:val="20"/>
                <w:szCs w:val="20"/>
                <w:lang w:val="nl-BE"/>
              </w:rPr>
              <w:t xml:space="preserve">meldt onmiddellijk aan de ploegbaas indien één van de </w:t>
            </w:r>
            <w:proofErr w:type="spellStart"/>
            <w:r>
              <w:rPr>
                <w:rFonts w:ascii="Titillium" w:hAnsi="Titillium"/>
                <w:sz w:val="20"/>
                <w:szCs w:val="20"/>
                <w:lang w:val="nl-BE"/>
              </w:rPr>
              <w:t>ipads</w:t>
            </w:r>
            <w:proofErr w:type="spellEnd"/>
            <w:r>
              <w:rPr>
                <w:rFonts w:ascii="Titillium" w:hAnsi="Titillium"/>
                <w:sz w:val="20"/>
                <w:szCs w:val="20"/>
                <w:lang w:val="nl-BE"/>
              </w:rPr>
              <w:t xml:space="preserve"> hapert;</w:t>
            </w:r>
          </w:p>
          <w:p w14:paraId="094DC55A" w14:textId="77777777" w:rsidR="00DC6FDF" w:rsidRPr="00265AE9" w:rsidRDefault="00DC6FDF" w:rsidP="00DC6FDF">
            <w:pPr>
              <w:numPr>
                <w:ilvl w:val="0"/>
                <w:numId w:val="4"/>
              </w:numPr>
              <w:spacing w:after="0" w:line="27" w:lineRule="atLeast"/>
              <w:contextualSpacing/>
              <w:rPr>
                <w:rFonts w:ascii="Titillium" w:hAnsi="Titillium"/>
                <w:sz w:val="20"/>
                <w:szCs w:val="20"/>
                <w:lang w:val="nl-BE"/>
              </w:rPr>
            </w:pPr>
            <w:r w:rsidRPr="00265AE9">
              <w:rPr>
                <w:rFonts w:ascii="Titillium" w:hAnsi="Titillium"/>
                <w:sz w:val="20"/>
                <w:szCs w:val="20"/>
                <w:lang w:val="nl-BE"/>
              </w:rPr>
              <w:t xml:space="preserve">zet de bezoekers efficiënt op pad na hun bezoek aan </w:t>
            </w:r>
            <w:r>
              <w:rPr>
                <w:rFonts w:ascii="Titillium" w:hAnsi="Titillium"/>
                <w:sz w:val="20"/>
                <w:szCs w:val="20"/>
                <w:lang w:val="nl-BE"/>
              </w:rPr>
              <w:t>Vorselaar</w:t>
            </w:r>
            <w:r w:rsidRPr="00265AE9">
              <w:rPr>
                <w:rFonts w:ascii="Titillium" w:hAnsi="Titillium"/>
                <w:sz w:val="20"/>
                <w:szCs w:val="20"/>
                <w:lang w:val="nl-BE"/>
              </w:rPr>
              <w:t>;</w:t>
            </w:r>
          </w:p>
          <w:p w14:paraId="0798C2E6" w14:textId="77777777" w:rsidR="00DC6FDF" w:rsidRDefault="00DC6FDF" w:rsidP="00DC6FDF">
            <w:pPr>
              <w:numPr>
                <w:ilvl w:val="0"/>
                <w:numId w:val="4"/>
              </w:numPr>
              <w:spacing w:after="0" w:line="27" w:lineRule="atLeast"/>
              <w:contextualSpacing/>
              <w:rPr>
                <w:rFonts w:ascii="Titillium" w:hAnsi="Titillium"/>
                <w:sz w:val="20"/>
                <w:szCs w:val="20"/>
                <w:lang w:val="nl-BE"/>
              </w:rPr>
            </w:pPr>
            <w:r w:rsidRPr="00265AE9">
              <w:rPr>
                <w:rFonts w:ascii="Titillium" w:hAnsi="Titillium"/>
                <w:sz w:val="20"/>
                <w:szCs w:val="20"/>
                <w:lang w:val="nl-BE"/>
              </w:rPr>
              <w:t>is een toegankelijke vraagbaak voor algemene informatie over Bokrijk en de programmatie;</w:t>
            </w:r>
          </w:p>
          <w:p w14:paraId="0A79A3AF" w14:textId="77777777" w:rsidR="00DC6FDF" w:rsidRPr="00956A09" w:rsidRDefault="00DC6FDF" w:rsidP="00DC6FDF">
            <w:pPr>
              <w:pStyle w:val="Lijstalinea"/>
              <w:numPr>
                <w:ilvl w:val="0"/>
                <w:numId w:val="4"/>
              </w:numPr>
              <w:spacing w:after="0" w:line="27" w:lineRule="atLeast"/>
              <w:rPr>
                <w:rFonts w:ascii="Titillium" w:hAnsi="Titillium"/>
                <w:sz w:val="20"/>
                <w:szCs w:val="20"/>
                <w:lang w:val="nl-BE"/>
              </w:rPr>
            </w:pPr>
            <w:r>
              <w:rPr>
                <w:rFonts w:ascii="Titillium" w:hAnsi="Titillium"/>
                <w:sz w:val="20"/>
                <w:szCs w:val="20"/>
                <w:lang w:val="nl-BE"/>
              </w:rPr>
              <w:t xml:space="preserve">koppelt de belangrijkste vragen en feedback terug naar de ploegbazen; </w:t>
            </w:r>
          </w:p>
          <w:p w14:paraId="778937E7" w14:textId="77777777" w:rsidR="00DC6FDF" w:rsidRPr="00265AE9" w:rsidRDefault="00DC6FDF" w:rsidP="00DC6FDF">
            <w:pPr>
              <w:numPr>
                <w:ilvl w:val="0"/>
                <w:numId w:val="4"/>
              </w:numPr>
              <w:spacing w:after="0" w:line="27" w:lineRule="atLeast"/>
              <w:contextualSpacing/>
              <w:rPr>
                <w:rFonts w:ascii="Titillium" w:hAnsi="Titillium"/>
                <w:sz w:val="20"/>
                <w:szCs w:val="20"/>
                <w:lang w:val="nl-BE"/>
              </w:rPr>
            </w:pPr>
            <w:r w:rsidRPr="00265AE9">
              <w:rPr>
                <w:rFonts w:ascii="Titillium" w:hAnsi="Titillium"/>
                <w:sz w:val="20"/>
                <w:szCs w:val="20"/>
                <w:lang w:val="nl-BE"/>
              </w:rPr>
              <w:t xml:space="preserve">kan flexibel ingeroosterd </w:t>
            </w:r>
            <w:r>
              <w:rPr>
                <w:rFonts w:ascii="Titillium" w:hAnsi="Titillium"/>
                <w:sz w:val="20"/>
                <w:szCs w:val="20"/>
                <w:lang w:val="nl-BE"/>
              </w:rPr>
              <w:t>worden bij andere museale taken;</w:t>
            </w:r>
          </w:p>
          <w:p w14:paraId="6632961F" w14:textId="77777777" w:rsidR="00DC6FDF" w:rsidRPr="00265AE9" w:rsidRDefault="00DC6FDF" w:rsidP="00DC6FDF">
            <w:pPr>
              <w:numPr>
                <w:ilvl w:val="0"/>
                <w:numId w:val="4"/>
              </w:numPr>
              <w:spacing w:after="0" w:line="27" w:lineRule="atLeast"/>
              <w:contextualSpacing/>
              <w:rPr>
                <w:rFonts w:ascii="Titillium" w:hAnsi="Titillium"/>
                <w:sz w:val="20"/>
                <w:szCs w:val="20"/>
                <w:lang w:val="nl-BE"/>
              </w:rPr>
            </w:pPr>
            <w:r w:rsidRPr="00265AE9">
              <w:rPr>
                <w:rFonts w:ascii="Titillium" w:hAnsi="Titillium"/>
                <w:sz w:val="20"/>
                <w:szCs w:val="20"/>
                <w:lang w:val="nl-BE"/>
              </w:rPr>
              <w:t>heeft een signaalfunctie wat betreft veiligheid algemeen en veiligheid van de collectie; informeert bij veiligheidsproblemen meteen de ploegbaas en de domeinpolitie.</w:t>
            </w:r>
          </w:p>
        </w:tc>
      </w:tr>
      <w:tr w:rsidR="00DC6FDF" w:rsidRPr="00265AE9" w14:paraId="6FB152FC" w14:textId="77777777" w:rsidTr="00EA474B">
        <w:tc>
          <w:tcPr>
            <w:tcW w:w="9062" w:type="dxa"/>
            <w:shd w:val="clear" w:color="auto" w:fill="D9D9D9" w:themeFill="background1" w:themeFillShade="D9"/>
          </w:tcPr>
          <w:p w14:paraId="0CBDFD76" w14:textId="77777777" w:rsidR="00DC6FDF" w:rsidRPr="00265AE9" w:rsidRDefault="00DC6FDF" w:rsidP="00EA474B">
            <w:pPr>
              <w:spacing w:before="120" w:after="120" w:line="27" w:lineRule="atLeast"/>
              <w:rPr>
                <w:rFonts w:ascii="Titillium" w:hAnsi="Titillium"/>
                <w:b/>
                <w:sz w:val="20"/>
                <w:szCs w:val="20"/>
                <w:lang w:val="nl-BE"/>
              </w:rPr>
            </w:pPr>
            <w:r w:rsidRPr="00265AE9">
              <w:rPr>
                <w:rFonts w:ascii="Titillium" w:hAnsi="Titillium"/>
                <w:b/>
                <w:sz w:val="20"/>
                <w:szCs w:val="20"/>
                <w:lang w:val="nl-BE"/>
              </w:rPr>
              <w:t xml:space="preserve">Onderhoud </w:t>
            </w:r>
          </w:p>
        </w:tc>
      </w:tr>
      <w:tr w:rsidR="00DC6FDF" w:rsidRPr="00265AE9" w14:paraId="6019CA24" w14:textId="77777777" w:rsidTr="00EA474B">
        <w:tc>
          <w:tcPr>
            <w:tcW w:w="9062" w:type="dxa"/>
          </w:tcPr>
          <w:p w14:paraId="00C97374" w14:textId="77777777" w:rsidR="00DC6FDF" w:rsidRPr="00265AE9" w:rsidRDefault="00DC6FDF" w:rsidP="00DC6FDF">
            <w:pPr>
              <w:pStyle w:val="Lijstalinea"/>
              <w:numPr>
                <w:ilvl w:val="0"/>
                <w:numId w:val="5"/>
              </w:numPr>
              <w:spacing w:after="0" w:line="27" w:lineRule="atLeast"/>
              <w:rPr>
                <w:rFonts w:ascii="Titillium" w:hAnsi="Titillium"/>
                <w:sz w:val="20"/>
                <w:szCs w:val="20"/>
                <w:lang w:val="nl-BE"/>
              </w:rPr>
            </w:pPr>
            <w:r w:rsidRPr="00265AE9">
              <w:rPr>
                <w:rFonts w:ascii="Titillium" w:hAnsi="Titillium"/>
                <w:sz w:val="20"/>
                <w:szCs w:val="20"/>
              </w:rPr>
              <w:t xml:space="preserve">is </w:t>
            </w:r>
            <w:r w:rsidRPr="00265AE9">
              <w:rPr>
                <w:rFonts w:ascii="Titillium" w:hAnsi="Titillium"/>
                <w:sz w:val="20"/>
                <w:szCs w:val="20"/>
                <w:lang w:val="nl-BE"/>
              </w:rPr>
              <w:t>verantwoordelijk voor een nette werkplek;</w:t>
            </w:r>
          </w:p>
          <w:p w14:paraId="4B5EDDD1" w14:textId="77777777" w:rsidR="00DC6FDF" w:rsidRPr="00956A09" w:rsidRDefault="00DC6FDF" w:rsidP="00DC6FDF">
            <w:pPr>
              <w:pStyle w:val="Lijstalinea"/>
              <w:numPr>
                <w:ilvl w:val="0"/>
                <w:numId w:val="5"/>
              </w:numPr>
              <w:spacing w:after="0" w:line="27" w:lineRule="atLeast"/>
              <w:rPr>
                <w:rFonts w:ascii="Titillium" w:hAnsi="Titillium"/>
                <w:sz w:val="20"/>
                <w:szCs w:val="20"/>
              </w:rPr>
            </w:pPr>
            <w:r w:rsidRPr="00265AE9">
              <w:rPr>
                <w:rFonts w:ascii="Titillium" w:hAnsi="Titillium" w:cs="Corbel"/>
                <w:color w:val="191919"/>
                <w:sz w:val="20"/>
                <w:szCs w:val="20"/>
              </w:rPr>
              <w:t>voert zelf dagelijks onderhoud uit om de werkplek netjes</w:t>
            </w:r>
            <w:r>
              <w:rPr>
                <w:rFonts w:ascii="Titillium" w:hAnsi="Titillium" w:cs="Corbel"/>
                <w:color w:val="191919"/>
                <w:sz w:val="20"/>
                <w:szCs w:val="20"/>
              </w:rPr>
              <w:t xml:space="preserve"> en hygiënisch</w:t>
            </w:r>
            <w:r w:rsidRPr="00265AE9">
              <w:rPr>
                <w:rFonts w:ascii="Titillium" w:hAnsi="Titillium" w:cs="Corbel"/>
                <w:color w:val="191919"/>
                <w:sz w:val="20"/>
                <w:szCs w:val="20"/>
              </w:rPr>
              <w:t xml:space="preserve"> te houden;</w:t>
            </w:r>
          </w:p>
          <w:p w14:paraId="11706901" w14:textId="77777777" w:rsidR="00DC6FDF" w:rsidRPr="001E78FB" w:rsidRDefault="00DC6FDF" w:rsidP="00DC6FDF">
            <w:pPr>
              <w:pStyle w:val="Lijstalinea"/>
              <w:numPr>
                <w:ilvl w:val="0"/>
                <w:numId w:val="5"/>
              </w:numPr>
              <w:spacing w:after="0" w:line="27" w:lineRule="atLeast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 w:cs="Corbel"/>
                <w:color w:val="191919"/>
                <w:sz w:val="20"/>
                <w:szCs w:val="20"/>
              </w:rPr>
              <w:t xml:space="preserve">reinigt en ontsmet meermaals per dag de </w:t>
            </w:r>
            <w:proofErr w:type="spellStart"/>
            <w:r>
              <w:rPr>
                <w:rFonts w:ascii="Titillium" w:hAnsi="Titillium" w:cs="Corbel"/>
                <w:color w:val="191919"/>
                <w:sz w:val="20"/>
                <w:szCs w:val="20"/>
              </w:rPr>
              <w:t>ipads</w:t>
            </w:r>
            <w:proofErr w:type="spellEnd"/>
            <w:r>
              <w:rPr>
                <w:rFonts w:ascii="Titillium" w:hAnsi="Titillium" w:cs="Corbel"/>
                <w:color w:val="191919"/>
                <w:sz w:val="20"/>
                <w:szCs w:val="20"/>
              </w:rPr>
              <w:t xml:space="preserve">, het kristal en andere oppervlaktes die bezoekers regelmatig aanraken; </w:t>
            </w:r>
          </w:p>
          <w:p w14:paraId="207914A5" w14:textId="77777777" w:rsidR="00DC6FDF" w:rsidRPr="00265AE9" w:rsidRDefault="00DC6FDF" w:rsidP="00DC6FDF">
            <w:pPr>
              <w:pStyle w:val="Lijstalinea"/>
              <w:numPr>
                <w:ilvl w:val="0"/>
                <w:numId w:val="5"/>
              </w:numPr>
              <w:spacing w:after="0" w:line="27" w:lineRule="atLeast"/>
              <w:rPr>
                <w:rFonts w:ascii="Titillium" w:hAnsi="Titillium"/>
                <w:sz w:val="20"/>
                <w:szCs w:val="20"/>
              </w:rPr>
            </w:pPr>
            <w:r w:rsidRPr="00265AE9">
              <w:rPr>
                <w:rFonts w:ascii="Titillium" w:hAnsi="Titillium"/>
                <w:sz w:val="20"/>
                <w:szCs w:val="20"/>
              </w:rPr>
              <w:t xml:space="preserve">draagt bij tot een verzorgde uitstraling van het museum, bijvoorbeeld: zitbanken </w:t>
            </w:r>
            <w:r>
              <w:rPr>
                <w:rFonts w:ascii="Titillium" w:hAnsi="Titillium"/>
                <w:sz w:val="20"/>
                <w:szCs w:val="20"/>
              </w:rPr>
              <w:t xml:space="preserve">en erfpanelen </w:t>
            </w:r>
            <w:r w:rsidRPr="00265AE9">
              <w:rPr>
                <w:rFonts w:ascii="Titillium" w:hAnsi="Titillium"/>
                <w:sz w:val="20"/>
                <w:szCs w:val="20"/>
              </w:rPr>
              <w:t>poetsen, signalisatie- en informatieborden afwassen, onkruid wieden, zwerfvuil opruimen, enz.</w:t>
            </w:r>
          </w:p>
        </w:tc>
      </w:tr>
      <w:tr w:rsidR="00DC6FDF" w:rsidRPr="00265AE9" w14:paraId="5E9658CE" w14:textId="77777777" w:rsidTr="00EA474B">
        <w:tc>
          <w:tcPr>
            <w:tcW w:w="9062" w:type="dxa"/>
            <w:shd w:val="clear" w:color="auto" w:fill="BFBFBF" w:themeFill="background1" w:themeFillShade="BF"/>
          </w:tcPr>
          <w:p w14:paraId="586CBCDD" w14:textId="77777777" w:rsidR="00DC6FDF" w:rsidRPr="00265AE9" w:rsidRDefault="00DC6FDF" w:rsidP="00EA474B">
            <w:pPr>
              <w:spacing w:before="120" w:after="120" w:line="27" w:lineRule="atLeast"/>
              <w:rPr>
                <w:rFonts w:ascii="Titillium" w:hAnsi="Titillium"/>
                <w:sz w:val="20"/>
                <w:szCs w:val="20"/>
                <w:lang w:val="nl-BE"/>
              </w:rPr>
            </w:pPr>
            <w:r w:rsidRPr="00265AE9">
              <w:rPr>
                <w:rFonts w:ascii="Titillium" w:hAnsi="Titillium"/>
                <w:sz w:val="20"/>
                <w:szCs w:val="20"/>
                <w:lang w:val="nl-BE"/>
              </w:rPr>
              <w:t>COMPETENTIES</w:t>
            </w:r>
          </w:p>
        </w:tc>
      </w:tr>
      <w:tr w:rsidR="00DC6FDF" w:rsidRPr="00265AE9" w14:paraId="61E5D3D2" w14:textId="77777777" w:rsidTr="00EA474B">
        <w:tc>
          <w:tcPr>
            <w:tcW w:w="9062" w:type="dxa"/>
            <w:shd w:val="clear" w:color="auto" w:fill="D9D9D9" w:themeFill="background1" w:themeFillShade="D9"/>
          </w:tcPr>
          <w:p w14:paraId="48D9AD9A" w14:textId="77777777" w:rsidR="00DC6FDF" w:rsidRPr="00265AE9" w:rsidRDefault="00DC6FDF" w:rsidP="00EA474B">
            <w:pPr>
              <w:spacing w:before="120" w:after="120" w:line="27" w:lineRule="atLeast"/>
              <w:rPr>
                <w:rFonts w:ascii="Titillium" w:hAnsi="Titillium"/>
                <w:b/>
                <w:sz w:val="20"/>
                <w:szCs w:val="20"/>
                <w:lang w:val="nl-BE"/>
              </w:rPr>
            </w:pPr>
            <w:r w:rsidRPr="00265AE9">
              <w:rPr>
                <w:rFonts w:ascii="Titillium" w:hAnsi="Titillium"/>
                <w:b/>
                <w:sz w:val="20"/>
                <w:szCs w:val="20"/>
                <w:lang w:val="nl-BE"/>
              </w:rPr>
              <w:t>Belangrijke waarden binnen Bokrijk</w:t>
            </w:r>
          </w:p>
        </w:tc>
      </w:tr>
      <w:tr w:rsidR="00DC6FDF" w:rsidRPr="00265AE9" w14:paraId="183012CF" w14:textId="77777777" w:rsidTr="00EA474B">
        <w:tc>
          <w:tcPr>
            <w:tcW w:w="9062" w:type="dxa"/>
          </w:tcPr>
          <w:p w14:paraId="48FC0830" w14:textId="77777777" w:rsidR="00DC6FDF" w:rsidRPr="00265AE9" w:rsidRDefault="00DC6FDF" w:rsidP="00DC6FDF">
            <w:pPr>
              <w:numPr>
                <w:ilvl w:val="0"/>
                <w:numId w:val="1"/>
              </w:numPr>
              <w:spacing w:after="0" w:line="27" w:lineRule="atLeast"/>
              <w:rPr>
                <w:rFonts w:ascii="Titillium" w:eastAsia="Times New Roman" w:hAnsi="Titillium" w:cs="Times New Roman"/>
                <w:noProof/>
                <w:sz w:val="20"/>
                <w:szCs w:val="20"/>
                <w:lang w:val="nl"/>
              </w:rPr>
            </w:pPr>
            <w:r w:rsidRPr="00265AE9">
              <w:rPr>
                <w:rFonts w:ascii="Titillium" w:eastAsia="Times New Roman" w:hAnsi="Titillium" w:cs="Times New Roman"/>
                <w:noProof/>
                <w:sz w:val="20"/>
                <w:szCs w:val="20"/>
                <w:lang w:val="nl"/>
              </w:rPr>
              <w:t>komt afspraken na, neemt verantwoordelijkheid op en handelt vanuit integriteit, zorgvuldigheid, objectiviteit, gelijke behandeling, correctheid en transparantie;</w:t>
            </w:r>
          </w:p>
          <w:p w14:paraId="07D2FEAB" w14:textId="77777777" w:rsidR="00DC6FDF" w:rsidRPr="00265AE9" w:rsidRDefault="00DC6FDF" w:rsidP="00DC6FDF">
            <w:pPr>
              <w:numPr>
                <w:ilvl w:val="0"/>
                <w:numId w:val="1"/>
              </w:numPr>
              <w:spacing w:after="0" w:line="27" w:lineRule="atLeast"/>
              <w:rPr>
                <w:rFonts w:ascii="Titillium" w:eastAsia="Times New Roman" w:hAnsi="Titillium" w:cs="Times New Roman"/>
                <w:noProof/>
                <w:sz w:val="20"/>
                <w:szCs w:val="20"/>
                <w:lang w:val="nl"/>
              </w:rPr>
            </w:pPr>
            <w:r w:rsidRPr="00265AE9">
              <w:rPr>
                <w:rFonts w:ascii="Titillium" w:eastAsia="Times New Roman" w:hAnsi="Titillium" w:cs="Times New Roman"/>
                <w:noProof/>
                <w:sz w:val="20"/>
                <w:szCs w:val="20"/>
                <w:lang w:val="nl"/>
              </w:rPr>
              <w:t xml:space="preserve">levert een bijdrage aan een gezamenlijk resultaat door informatie te delen, te overleggen, anderen te helpen en samen te werken en houdt daarbij steeds het gezamenlijk belang voor ogen; </w:t>
            </w:r>
          </w:p>
          <w:p w14:paraId="4480A8CF" w14:textId="77777777" w:rsidR="00DC6FDF" w:rsidRPr="00265AE9" w:rsidRDefault="00DC6FDF" w:rsidP="00DC6FDF">
            <w:pPr>
              <w:numPr>
                <w:ilvl w:val="0"/>
                <w:numId w:val="1"/>
              </w:numPr>
              <w:spacing w:after="0" w:line="27" w:lineRule="atLeast"/>
              <w:rPr>
                <w:rFonts w:ascii="Titillium" w:eastAsia="Times New Roman" w:hAnsi="Titillium" w:cs="Times New Roman"/>
                <w:noProof/>
                <w:sz w:val="20"/>
                <w:szCs w:val="20"/>
                <w:lang w:val="nl"/>
              </w:rPr>
            </w:pPr>
            <w:r w:rsidRPr="00265AE9">
              <w:rPr>
                <w:rFonts w:ascii="Titillium" w:eastAsia="Times New Roman" w:hAnsi="Titillium" w:cs="Times New Roman"/>
                <w:noProof/>
                <w:sz w:val="20"/>
                <w:szCs w:val="20"/>
                <w:lang w:val="nl"/>
              </w:rPr>
              <w:t xml:space="preserve">verbetert steeds het functioneren binnen </w:t>
            </w:r>
            <w:r>
              <w:rPr>
                <w:rFonts w:ascii="Titillium" w:eastAsia="Times New Roman" w:hAnsi="Titillium" w:cs="Times New Roman"/>
                <w:noProof/>
                <w:sz w:val="20"/>
                <w:szCs w:val="20"/>
                <w:lang w:val="nl"/>
              </w:rPr>
              <w:t>‘</w:t>
            </w:r>
            <w:r w:rsidRPr="00265AE9">
              <w:rPr>
                <w:rFonts w:ascii="Titillium" w:eastAsia="Times New Roman" w:hAnsi="Titillium" w:cs="Times New Roman"/>
                <w:noProof/>
                <w:sz w:val="20"/>
                <w:szCs w:val="20"/>
                <w:lang w:val="nl"/>
              </w:rPr>
              <w:t>De wereld van Bruegel</w:t>
            </w:r>
            <w:r>
              <w:rPr>
                <w:rFonts w:ascii="Titillium" w:eastAsia="Times New Roman" w:hAnsi="Titillium" w:cs="Times New Roman"/>
                <w:noProof/>
                <w:sz w:val="20"/>
                <w:szCs w:val="20"/>
                <w:lang w:val="nl"/>
              </w:rPr>
              <w:t>’</w:t>
            </w:r>
            <w:r w:rsidRPr="00265AE9">
              <w:rPr>
                <w:rFonts w:ascii="Titillium" w:eastAsia="Times New Roman" w:hAnsi="Titillium" w:cs="Times New Roman"/>
                <w:noProof/>
                <w:sz w:val="20"/>
                <w:szCs w:val="20"/>
                <w:lang w:val="nl"/>
              </w:rPr>
              <w:t xml:space="preserve"> door bereidheid te tonen om te leren en om mee te groeien met veranderingen;</w:t>
            </w:r>
            <w:r w:rsidRPr="00265AE9">
              <w:rPr>
                <w:rFonts w:ascii="Titillium" w:eastAsia="Times New Roman" w:hAnsi="Titillium" w:cs="Times New Roman"/>
                <w:noProof/>
                <w:sz w:val="20"/>
                <w:szCs w:val="20"/>
              </w:rPr>
              <w:t xml:space="preserve"> </w:t>
            </w:r>
          </w:p>
          <w:p w14:paraId="16D8DA01" w14:textId="77777777" w:rsidR="00DC6FDF" w:rsidRPr="00265AE9" w:rsidRDefault="00DC6FDF" w:rsidP="00DC6FDF">
            <w:pPr>
              <w:numPr>
                <w:ilvl w:val="0"/>
                <w:numId w:val="1"/>
              </w:numPr>
              <w:spacing w:after="0" w:line="27" w:lineRule="atLeast"/>
              <w:rPr>
                <w:rFonts w:ascii="Titillium" w:eastAsia="Times New Roman" w:hAnsi="Titillium" w:cs="Times New Roman"/>
                <w:noProof/>
                <w:sz w:val="20"/>
                <w:szCs w:val="20"/>
                <w:lang w:val="nl"/>
              </w:rPr>
            </w:pPr>
            <w:r w:rsidRPr="00265AE9">
              <w:rPr>
                <w:rFonts w:ascii="Titillium" w:eastAsia="Times New Roman" w:hAnsi="Titillium" w:cs="Times New Roman"/>
                <w:noProof/>
                <w:sz w:val="20"/>
                <w:szCs w:val="20"/>
              </w:rPr>
              <w:t>herkent en begrijpt de behoeften van diverse bezoekers en kan er fijn en gepast op reageren</w:t>
            </w:r>
            <w:r w:rsidRPr="00265AE9">
              <w:rPr>
                <w:rFonts w:ascii="Titillium" w:eastAsia="Times New Roman" w:hAnsi="Titillium" w:cs="Times New Roman"/>
                <w:noProof/>
                <w:sz w:val="20"/>
                <w:szCs w:val="20"/>
                <w:lang w:val="nl"/>
              </w:rPr>
              <w:t>.</w:t>
            </w:r>
          </w:p>
        </w:tc>
      </w:tr>
      <w:tr w:rsidR="00DC6FDF" w:rsidRPr="00265AE9" w14:paraId="64490B83" w14:textId="77777777" w:rsidTr="00EA474B">
        <w:tc>
          <w:tcPr>
            <w:tcW w:w="9062" w:type="dxa"/>
            <w:shd w:val="clear" w:color="auto" w:fill="D9D9D9" w:themeFill="background1" w:themeFillShade="D9"/>
          </w:tcPr>
          <w:p w14:paraId="074E5CC1" w14:textId="77777777" w:rsidR="00DC6FDF" w:rsidRPr="00265AE9" w:rsidRDefault="00DC6FDF" w:rsidP="00EA474B">
            <w:pPr>
              <w:spacing w:before="120" w:after="120" w:line="27" w:lineRule="atLeast"/>
              <w:rPr>
                <w:rFonts w:ascii="Titillium" w:hAnsi="Titillium"/>
                <w:b/>
                <w:sz w:val="20"/>
                <w:szCs w:val="20"/>
                <w:lang w:val="nl-BE"/>
              </w:rPr>
            </w:pPr>
            <w:r w:rsidRPr="00265AE9">
              <w:rPr>
                <w:rFonts w:ascii="Titillium" w:hAnsi="Titillium"/>
                <w:b/>
                <w:sz w:val="20"/>
                <w:szCs w:val="20"/>
                <w:lang w:val="nl-BE"/>
              </w:rPr>
              <w:t>Gedragscompetenties</w:t>
            </w:r>
          </w:p>
        </w:tc>
      </w:tr>
      <w:tr w:rsidR="00DC6FDF" w:rsidRPr="00265AE9" w14:paraId="4AE595F1" w14:textId="77777777" w:rsidTr="00EA474B">
        <w:tc>
          <w:tcPr>
            <w:tcW w:w="9062" w:type="dxa"/>
          </w:tcPr>
          <w:p w14:paraId="614B91A8" w14:textId="77777777" w:rsidR="00DC6FDF" w:rsidRPr="00265AE9" w:rsidRDefault="00DC6FDF" w:rsidP="00EA474B">
            <w:pPr>
              <w:spacing w:line="27" w:lineRule="atLeast"/>
              <w:ind w:left="360"/>
              <w:contextualSpacing/>
              <w:rPr>
                <w:rFonts w:ascii="Titillium" w:hAnsi="Titillium"/>
                <w:b/>
                <w:sz w:val="20"/>
                <w:szCs w:val="20"/>
                <w:lang w:val="nl-BE"/>
              </w:rPr>
            </w:pPr>
            <w:r w:rsidRPr="00265AE9">
              <w:rPr>
                <w:rFonts w:ascii="Titillium" w:hAnsi="Titillium"/>
                <w:b/>
                <w:sz w:val="20"/>
                <w:szCs w:val="20"/>
                <w:lang w:val="nl-BE"/>
              </w:rPr>
              <w:t>Algemeen</w:t>
            </w:r>
          </w:p>
          <w:p w14:paraId="2B1FB78B" w14:textId="77777777" w:rsidR="00DC6FDF" w:rsidRPr="00265AE9" w:rsidRDefault="00DC6FDF" w:rsidP="00DC6FDF">
            <w:pPr>
              <w:numPr>
                <w:ilvl w:val="0"/>
                <w:numId w:val="3"/>
              </w:numPr>
              <w:spacing w:after="0" w:line="27" w:lineRule="atLeast"/>
              <w:contextualSpacing/>
              <w:rPr>
                <w:rFonts w:ascii="Titillium" w:hAnsi="Titillium"/>
                <w:sz w:val="20"/>
                <w:szCs w:val="20"/>
                <w:lang w:val="nl-BE"/>
              </w:rPr>
            </w:pPr>
            <w:r w:rsidRPr="00265AE9">
              <w:rPr>
                <w:rFonts w:ascii="Titillium" w:hAnsi="Titillium"/>
                <w:sz w:val="20"/>
                <w:szCs w:val="20"/>
                <w:lang w:val="nl-BE"/>
              </w:rPr>
              <w:t>blijft kalm en rustig, ook in stressvolle situaties;</w:t>
            </w:r>
          </w:p>
          <w:p w14:paraId="7AD11D58" w14:textId="77777777" w:rsidR="00DC6FDF" w:rsidRPr="00265AE9" w:rsidRDefault="00DC6FDF" w:rsidP="00DC6FDF">
            <w:pPr>
              <w:numPr>
                <w:ilvl w:val="0"/>
                <w:numId w:val="3"/>
              </w:numPr>
              <w:spacing w:after="0" w:line="27" w:lineRule="atLeast"/>
              <w:contextualSpacing/>
              <w:rPr>
                <w:rFonts w:ascii="Titillium" w:hAnsi="Titillium"/>
                <w:sz w:val="20"/>
                <w:szCs w:val="20"/>
                <w:lang w:val="nl-BE"/>
              </w:rPr>
            </w:pPr>
            <w:r w:rsidRPr="00265AE9">
              <w:rPr>
                <w:rFonts w:ascii="Titillium" w:hAnsi="Titillium"/>
                <w:sz w:val="20"/>
                <w:szCs w:val="20"/>
                <w:lang w:val="nl-BE"/>
              </w:rPr>
              <w:t>respecteert de waarden en de doelstellingen van Bokrijk;</w:t>
            </w:r>
          </w:p>
          <w:p w14:paraId="435FAE9B" w14:textId="77777777" w:rsidR="00DC6FDF" w:rsidRPr="00265AE9" w:rsidRDefault="00DC6FDF" w:rsidP="00DC6FD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tillium" w:hAnsi="Titillium"/>
                <w:sz w:val="20"/>
                <w:szCs w:val="20"/>
                <w:lang w:val="nl-BE"/>
              </w:rPr>
            </w:pPr>
            <w:r w:rsidRPr="00265AE9">
              <w:rPr>
                <w:rFonts w:ascii="Titillium" w:hAnsi="Titillium"/>
                <w:sz w:val="20"/>
                <w:szCs w:val="20"/>
                <w:lang w:val="nl-BE"/>
              </w:rPr>
              <w:t>toetst eigen besluiten, voorstellen en acties af bij de verantwoordelijke;</w:t>
            </w:r>
          </w:p>
          <w:p w14:paraId="48BA510A" w14:textId="77777777" w:rsidR="00DC6FDF" w:rsidRPr="00265AE9" w:rsidRDefault="00DC6FDF" w:rsidP="00DC6FDF">
            <w:pPr>
              <w:numPr>
                <w:ilvl w:val="0"/>
                <w:numId w:val="3"/>
              </w:numPr>
              <w:spacing w:after="0" w:line="27" w:lineRule="atLeast"/>
              <w:contextualSpacing/>
              <w:rPr>
                <w:rFonts w:ascii="Titillium" w:hAnsi="Titillium"/>
                <w:sz w:val="20"/>
                <w:szCs w:val="20"/>
                <w:lang w:val="nl-BE"/>
              </w:rPr>
            </w:pPr>
            <w:r w:rsidRPr="00265AE9">
              <w:rPr>
                <w:rFonts w:ascii="Titillium" w:hAnsi="Titillium"/>
                <w:sz w:val="20"/>
                <w:szCs w:val="20"/>
                <w:lang w:val="nl-BE"/>
              </w:rPr>
              <w:t>geeft op een positieve manier de eigen mening weer en geeft eigen grenzen aan;</w:t>
            </w:r>
          </w:p>
          <w:p w14:paraId="2EC3D994" w14:textId="77777777" w:rsidR="00DC6FDF" w:rsidRPr="00265AE9" w:rsidRDefault="00DC6FDF" w:rsidP="00DC6FDF">
            <w:pPr>
              <w:numPr>
                <w:ilvl w:val="0"/>
                <w:numId w:val="3"/>
              </w:numPr>
              <w:spacing w:after="0" w:line="27" w:lineRule="atLeast"/>
              <w:contextualSpacing/>
              <w:rPr>
                <w:rFonts w:ascii="Titillium" w:hAnsi="Titillium"/>
                <w:sz w:val="20"/>
                <w:szCs w:val="20"/>
                <w:lang w:val="nl-BE"/>
              </w:rPr>
            </w:pPr>
            <w:r w:rsidRPr="00265AE9">
              <w:rPr>
                <w:rFonts w:ascii="Titillium" w:hAnsi="Titillium"/>
                <w:sz w:val="20"/>
                <w:szCs w:val="20"/>
                <w:lang w:val="nl-BE"/>
              </w:rPr>
              <w:t>deelt informatie en helpt anderen bij het aanleren van taken en het behalen van resultaten;</w:t>
            </w:r>
          </w:p>
          <w:p w14:paraId="2A7EE0A7" w14:textId="77777777" w:rsidR="00DC6FDF" w:rsidRPr="00265AE9" w:rsidRDefault="00DC6FDF" w:rsidP="00DC6FDF">
            <w:pPr>
              <w:numPr>
                <w:ilvl w:val="0"/>
                <w:numId w:val="3"/>
              </w:numPr>
              <w:spacing w:after="0" w:line="27" w:lineRule="atLeast"/>
              <w:contextualSpacing/>
              <w:rPr>
                <w:rFonts w:ascii="Titillium" w:hAnsi="Titillium"/>
                <w:sz w:val="20"/>
                <w:szCs w:val="20"/>
                <w:lang w:val="nl-BE"/>
              </w:rPr>
            </w:pPr>
            <w:r w:rsidRPr="00265AE9">
              <w:rPr>
                <w:rFonts w:ascii="Titillium" w:hAnsi="Titillium"/>
                <w:sz w:val="20"/>
                <w:szCs w:val="20"/>
                <w:lang w:val="nl-BE"/>
              </w:rPr>
              <w:t>ziet en begrijpt mogelijke gevoeligheden bij bezoekers;</w:t>
            </w:r>
          </w:p>
          <w:p w14:paraId="607D30FF" w14:textId="77777777" w:rsidR="00DC6FDF" w:rsidRPr="00265AE9" w:rsidRDefault="00DC6FDF" w:rsidP="00DC6FDF">
            <w:pPr>
              <w:numPr>
                <w:ilvl w:val="0"/>
                <w:numId w:val="3"/>
              </w:numPr>
              <w:spacing w:after="0" w:line="27" w:lineRule="atLeast"/>
              <w:contextualSpacing/>
              <w:rPr>
                <w:rFonts w:ascii="Titillium" w:hAnsi="Titillium"/>
                <w:sz w:val="20"/>
                <w:szCs w:val="20"/>
                <w:lang w:val="nl-BE"/>
              </w:rPr>
            </w:pPr>
            <w:r w:rsidRPr="00265AE9">
              <w:rPr>
                <w:rFonts w:ascii="Titillium" w:hAnsi="Titillium"/>
                <w:sz w:val="20"/>
                <w:szCs w:val="20"/>
                <w:lang w:val="nl-BE"/>
              </w:rPr>
              <w:t>is flexibel en kan inspelen op de noden van de organisatie;</w:t>
            </w:r>
          </w:p>
          <w:p w14:paraId="3DCD87AB" w14:textId="77777777" w:rsidR="00DC6FDF" w:rsidRPr="00265AE9" w:rsidRDefault="00DC6FDF" w:rsidP="00DC6FDF">
            <w:pPr>
              <w:numPr>
                <w:ilvl w:val="0"/>
                <w:numId w:val="3"/>
              </w:numPr>
              <w:spacing w:after="0" w:line="27" w:lineRule="atLeast"/>
              <w:contextualSpacing/>
              <w:rPr>
                <w:rFonts w:ascii="Titillium" w:hAnsi="Titillium"/>
                <w:sz w:val="20"/>
                <w:szCs w:val="20"/>
                <w:lang w:val="nl-BE"/>
              </w:rPr>
            </w:pPr>
            <w:r w:rsidRPr="00265AE9">
              <w:rPr>
                <w:rFonts w:ascii="Titillium" w:hAnsi="Titillium"/>
                <w:sz w:val="20"/>
                <w:szCs w:val="20"/>
                <w:lang w:val="nl-BE"/>
              </w:rPr>
              <w:t>maakt logische veronderstellingen en trekt logische conclusies op basis van de beschikbare gegevens;</w:t>
            </w:r>
          </w:p>
          <w:p w14:paraId="10DA8D94" w14:textId="77777777" w:rsidR="00DC6FDF" w:rsidRPr="00265AE9" w:rsidRDefault="00DC6FDF" w:rsidP="00DC6FDF">
            <w:pPr>
              <w:numPr>
                <w:ilvl w:val="0"/>
                <w:numId w:val="3"/>
              </w:numPr>
              <w:spacing w:after="0" w:line="27" w:lineRule="atLeast"/>
              <w:contextualSpacing/>
              <w:rPr>
                <w:rFonts w:ascii="Titillium" w:hAnsi="Titillium"/>
                <w:sz w:val="20"/>
                <w:szCs w:val="20"/>
                <w:lang w:val="nl-BE"/>
              </w:rPr>
            </w:pPr>
            <w:r w:rsidRPr="00265AE9">
              <w:rPr>
                <w:rFonts w:ascii="Titillium" w:hAnsi="Titillium"/>
                <w:sz w:val="20"/>
                <w:szCs w:val="20"/>
                <w:lang w:val="nl-BE"/>
              </w:rPr>
              <w:t>kadert operationele taken en problemen in hun ruimere context;</w:t>
            </w:r>
          </w:p>
          <w:p w14:paraId="2B76342B" w14:textId="77777777" w:rsidR="00DC6FDF" w:rsidRPr="00265AE9" w:rsidRDefault="00DC6FDF" w:rsidP="00DC6FDF">
            <w:pPr>
              <w:numPr>
                <w:ilvl w:val="0"/>
                <w:numId w:val="3"/>
              </w:numPr>
              <w:spacing w:after="0" w:line="27" w:lineRule="atLeast"/>
              <w:contextualSpacing/>
              <w:rPr>
                <w:rFonts w:ascii="Titillium" w:hAnsi="Titillium"/>
                <w:sz w:val="20"/>
                <w:szCs w:val="20"/>
                <w:lang w:val="nl-BE"/>
              </w:rPr>
            </w:pPr>
            <w:r w:rsidRPr="00265AE9">
              <w:rPr>
                <w:rFonts w:ascii="Titillium" w:hAnsi="Titillium"/>
                <w:sz w:val="20"/>
                <w:szCs w:val="20"/>
                <w:lang w:val="nl-BE"/>
              </w:rPr>
              <w:t>staat open voor nieuwigheden;</w:t>
            </w:r>
          </w:p>
          <w:p w14:paraId="70BC2172" w14:textId="77777777" w:rsidR="00DC6FDF" w:rsidRPr="00265AE9" w:rsidRDefault="00DC6FDF" w:rsidP="00DC6FDF">
            <w:pPr>
              <w:numPr>
                <w:ilvl w:val="0"/>
                <w:numId w:val="3"/>
              </w:numPr>
              <w:spacing w:after="0" w:line="27" w:lineRule="atLeast"/>
              <w:contextualSpacing/>
              <w:rPr>
                <w:rFonts w:ascii="Titillium" w:hAnsi="Titillium"/>
                <w:sz w:val="20"/>
                <w:szCs w:val="20"/>
                <w:lang w:val="nl-BE"/>
              </w:rPr>
            </w:pPr>
            <w:r w:rsidRPr="00265AE9">
              <w:rPr>
                <w:rFonts w:ascii="Titillium" w:hAnsi="Titillium"/>
                <w:sz w:val="20"/>
                <w:szCs w:val="20"/>
                <w:lang w:val="nl-BE"/>
              </w:rPr>
              <w:t>zoekt actief mogelijkheden ter verbetering;</w:t>
            </w:r>
          </w:p>
          <w:p w14:paraId="7C5C0BB8" w14:textId="77777777" w:rsidR="00DC6FDF" w:rsidRPr="00265AE9" w:rsidRDefault="00DC6FDF" w:rsidP="00EA474B">
            <w:pPr>
              <w:spacing w:line="27" w:lineRule="atLeast"/>
              <w:ind w:left="360"/>
              <w:contextualSpacing/>
              <w:rPr>
                <w:rFonts w:ascii="Titillium" w:hAnsi="Titillium"/>
                <w:sz w:val="20"/>
                <w:szCs w:val="20"/>
                <w:lang w:val="nl-BE"/>
              </w:rPr>
            </w:pPr>
          </w:p>
          <w:p w14:paraId="723A950A" w14:textId="77777777" w:rsidR="00DC6FDF" w:rsidRPr="00265AE9" w:rsidRDefault="00DC6FDF" w:rsidP="00EA474B">
            <w:pPr>
              <w:spacing w:line="27" w:lineRule="atLeast"/>
              <w:ind w:left="360"/>
              <w:contextualSpacing/>
              <w:rPr>
                <w:rFonts w:ascii="Titillium" w:hAnsi="Titillium"/>
                <w:b/>
                <w:sz w:val="20"/>
                <w:szCs w:val="20"/>
                <w:lang w:val="nl-BE"/>
              </w:rPr>
            </w:pPr>
            <w:r w:rsidRPr="00265AE9">
              <w:rPr>
                <w:rFonts w:ascii="Titillium" w:hAnsi="Titillium"/>
                <w:b/>
                <w:sz w:val="20"/>
                <w:szCs w:val="20"/>
                <w:lang w:val="nl-BE"/>
              </w:rPr>
              <w:lastRenderedPageBreak/>
              <w:t>In relatie tot het onthaal</w:t>
            </w:r>
          </w:p>
          <w:p w14:paraId="4C74A2EF" w14:textId="2FDCD43F" w:rsidR="00DC6FDF" w:rsidRPr="00265AE9" w:rsidRDefault="00DC6FDF" w:rsidP="00DC6FDF">
            <w:pPr>
              <w:numPr>
                <w:ilvl w:val="0"/>
                <w:numId w:val="3"/>
              </w:numPr>
              <w:spacing w:after="0" w:line="27" w:lineRule="atLeast"/>
              <w:contextualSpacing/>
              <w:rPr>
                <w:rFonts w:ascii="Titillium" w:hAnsi="Titillium"/>
                <w:sz w:val="20"/>
                <w:szCs w:val="20"/>
                <w:lang w:val="nl-BE"/>
              </w:rPr>
            </w:pPr>
            <w:r w:rsidRPr="00265AE9">
              <w:rPr>
                <w:rFonts w:ascii="Titillium" w:hAnsi="Titillium"/>
                <w:sz w:val="20"/>
                <w:szCs w:val="20"/>
                <w:lang w:val="nl-BE"/>
              </w:rPr>
              <w:t xml:space="preserve">kan het verhaal van </w:t>
            </w:r>
            <w:r w:rsidR="006B182B">
              <w:rPr>
                <w:rFonts w:ascii="Titillium" w:hAnsi="Titillium"/>
                <w:sz w:val="20"/>
                <w:szCs w:val="20"/>
                <w:lang w:val="nl-BE"/>
              </w:rPr>
              <w:t>de link tussen Bokrijk en Bruegel</w:t>
            </w:r>
            <w:r w:rsidRPr="00265AE9">
              <w:rPr>
                <w:rFonts w:ascii="Titillium" w:hAnsi="Titillium"/>
                <w:sz w:val="20"/>
                <w:szCs w:val="20"/>
                <w:lang w:val="nl-BE"/>
              </w:rPr>
              <w:t xml:space="preserve"> algemeen en de uitwerki</w:t>
            </w:r>
            <w:r>
              <w:rPr>
                <w:rFonts w:ascii="Titillium" w:hAnsi="Titillium"/>
                <w:sz w:val="20"/>
                <w:szCs w:val="20"/>
                <w:lang w:val="nl-BE"/>
              </w:rPr>
              <w:t xml:space="preserve">ng ervan in Vorselaar </w:t>
            </w:r>
            <w:r w:rsidRPr="00265AE9">
              <w:rPr>
                <w:rFonts w:ascii="Titillium" w:hAnsi="Titillium"/>
                <w:sz w:val="20"/>
                <w:szCs w:val="20"/>
                <w:lang w:val="nl-BE"/>
              </w:rPr>
              <w:t>boeiend, enthousiast en dynamisch duiden voor een uiteenlopend publiek;</w:t>
            </w:r>
          </w:p>
          <w:p w14:paraId="319B7FDE" w14:textId="77777777" w:rsidR="00DC6FDF" w:rsidRPr="00265AE9" w:rsidRDefault="00DC6FDF" w:rsidP="00DC6FDF">
            <w:pPr>
              <w:numPr>
                <w:ilvl w:val="0"/>
                <w:numId w:val="3"/>
              </w:numPr>
              <w:spacing w:after="0" w:line="27" w:lineRule="atLeast"/>
              <w:contextualSpacing/>
              <w:rPr>
                <w:rFonts w:ascii="Titillium" w:hAnsi="Titillium"/>
                <w:sz w:val="20"/>
                <w:szCs w:val="20"/>
                <w:lang w:val="nl-BE"/>
              </w:rPr>
            </w:pPr>
            <w:r w:rsidRPr="00265AE9">
              <w:rPr>
                <w:rFonts w:ascii="Titillium" w:hAnsi="Titillium"/>
                <w:sz w:val="20"/>
                <w:szCs w:val="20"/>
                <w:lang w:val="nl-BE"/>
              </w:rPr>
              <w:t>brengt structuur in het takenpakket aan, organiseert het onthaal op een ordelijke manier;</w:t>
            </w:r>
          </w:p>
          <w:p w14:paraId="358547B5" w14:textId="77777777" w:rsidR="00DC6FDF" w:rsidRPr="00265AE9" w:rsidRDefault="00DC6FDF" w:rsidP="00DC6FDF">
            <w:pPr>
              <w:numPr>
                <w:ilvl w:val="0"/>
                <w:numId w:val="3"/>
              </w:numPr>
              <w:spacing w:after="0" w:line="27" w:lineRule="atLeast"/>
              <w:contextualSpacing/>
              <w:rPr>
                <w:rFonts w:ascii="Titillium" w:hAnsi="Titillium"/>
                <w:sz w:val="20"/>
                <w:szCs w:val="20"/>
                <w:lang w:val="nl-BE"/>
              </w:rPr>
            </w:pPr>
            <w:r w:rsidRPr="00265AE9">
              <w:rPr>
                <w:rFonts w:ascii="Titillium" w:hAnsi="Titillium"/>
                <w:sz w:val="20"/>
                <w:szCs w:val="20"/>
                <w:lang w:val="nl-BE"/>
              </w:rPr>
              <w:t>draagt de voorgeschreven kledij en heeft oog voor de persoonlijke hygiëne;</w:t>
            </w:r>
          </w:p>
          <w:p w14:paraId="551CBF59" w14:textId="77777777" w:rsidR="00DC6FDF" w:rsidRPr="00265AE9" w:rsidRDefault="00DC6FDF" w:rsidP="00DC6FDF">
            <w:pPr>
              <w:numPr>
                <w:ilvl w:val="0"/>
                <w:numId w:val="3"/>
              </w:numPr>
              <w:spacing w:after="0" w:line="27" w:lineRule="atLeast"/>
              <w:contextualSpacing/>
              <w:rPr>
                <w:rFonts w:ascii="Titillium" w:hAnsi="Titillium"/>
                <w:sz w:val="20"/>
                <w:szCs w:val="20"/>
                <w:lang w:val="nl-BE"/>
              </w:rPr>
            </w:pPr>
            <w:r w:rsidRPr="00265AE9">
              <w:rPr>
                <w:rFonts w:ascii="Titillium" w:hAnsi="Titillium"/>
                <w:sz w:val="20"/>
                <w:szCs w:val="20"/>
                <w:lang w:val="nl-BE"/>
              </w:rPr>
              <w:t>zorgt bij het beëindigen van de taak, dat de locatie netjes achtergelaten wordt.</w:t>
            </w:r>
          </w:p>
        </w:tc>
      </w:tr>
      <w:tr w:rsidR="00DC6FDF" w:rsidRPr="00265AE9" w14:paraId="3BBDE460" w14:textId="77777777" w:rsidTr="00EA474B">
        <w:tc>
          <w:tcPr>
            <w:tcW w:w="9062" w:type="dxa"/>
            <w:shd w:val="clear" w:color="auto" w:fill="D9D9D9" w:themeFill="background1" w:themeFillShade="D9"/>
          </w:tcPr>
          <w:p w14:paraId="64B62BDF" w14:textId="77777777" w:rsidR="00DC6FDF" w:rsidRPr="00265AE9" w:rsidRDefault="00DC6FDF" w:rsidP="00EA474B">
            <w:pPr>
              <w:spacing w:before="120" w:after="120" w:line="27" w:lineRule="atLeast"/>
              <w:rPr>
                <w:rFonts w:ascii="Titillium" w:hAnsi="Titillium"/>
                <w:b/>
                <w:sz w:val="20"/>
                <w:szCs w:val="20"/>
                <w:lang w:val="nl-BE"/>
              </w:rPr>
            </w:pPr>
            <w:proofErr w:type="spellStart"/>
            <w:r w:rsidRPr="00265AE9">
              <w:rPr>
                <w:rFonts w:ascii="Titillium" w:hAnsi="Titillium"/>
                <w:b/>
                <w:sz w:val="20"/>
                <w:szCs w:val="20"/>
                <w:lang w:val="nl-BE"/>
              </w:rPr>
              <w:lastRenderedPageBreak/>
              <w:t>Kennisgebonden</w:t>
            </w:r>
            <w:proofErr w:type="spellEnd"/>
            <w:r w:rsidRPr="00265AE9">
              <w:rPr>
                <w:rFonts w:ascii="Titillium" w:hAnsi="Titillium"/>
                <w:b/>
                <w:sz w:val="20"/>
                <w:szCs w:val="20"/>
                <w:lang w:val="nl-BE"/>
              </w:rPr>
              <w:t xml:space="preserve"> competenties </w:t>
            </w:r>
          </w:p>
        </w:tc>
      </w:tr>
      <w:tr w:rsidR="00DC6FDF" w:rsidRPr="00265AE9" w14:paraId="5273D252" w14:textId="77777777" w:rsidTr="00EA474B">
        <w:tc>
          <w:tcPr>
            <w:tcW w:w="9062" w:type="dxa"/>
          </w:tcPr>
          <w:p w14:paraId="7EEF12F5" w14:textId="77777777" w:rsidR="00DC6FDF" w:rsidRPr="00265AE9" w:rsidRDefault="00DC6FDF" w:rsidP="00DC6FDF">
            <w:pPr>
              <w:numPr>
                <w:ilvl w:val="0"/>
                <w:numId w:val="2"/>
              </w:numPr>
              <w:spacing w:after="0" w:line="27" w:lineRule="atLeast"/>
              <w:ind w:hanging="357"/>
              <w:contextualSpacing/>
              <w:rPr>
                <w:rFonts w:ascii="Titillium" w:hAnsi="Titillium"/>
                <w:sz w:val="20"/>
                <w:szCs w:val="20"/>
                <w:lang w:val="nl-BE"/>
              </w:rPr>
            </w:pPr>
            <w:r w:rsidRPr="00265AE9">
              <w:rPr>
                <w:rFonts w:ascii="Titillium" w:hAnsi="Titillium"/>
                <w:sz w:val="20"/>
                <w:szCs w:val="20"/>
                <w:lang w:val="nl-BE"/>
              </w:rPr>
              <w:t>heeft voldoende notie van Frans, Engels en Duits om zich verstaanbaar te maken naar anderstalige bezoekers;</w:t>
            </w:r>
          </w:p>
          <w:p w14:paraId="34B74A46" w14:textId="77777777" w:rsidR="00DC6FDF" w:rsidRPr="00265AE9" w:rsidRDefault="00DC6FDF" w:rsidP="00DC6FDF">
            <w:pPr>
              <w:numPr>
                <w:ilvl w:val="0"/>
                <w:numId w:val="2"/>
              </w:numPr>
              <w:spacing w:after="0" w:line="27" w:lineRule="atLeast"/>
              <w:contextualSpacing/>
              <w:rPr>
                <w:rFonts w:ascii="Titillium" w:hAnsi="Titillium"/>
                <w:sz w:val="20"/>
                <w:szCs w:val="20"/>
                <w:lang w:val="nl-BE"/>
              </w:rPr>
            </w:pPr>
            <w:r w:rsidRPr="00265AE9">
              <w:rPr>
                <w:rFonts w:ascii="Titillium" w:hAnsi="Titillium"/>
                <w:sz w:val="20"/>
                <w:szCs w:val="20"/>
                <w:lang w:val="nl-BE"/>
              </w:rPr>
              <w:t>beschikt over de gewenste kennis en inzichten eigen aan de toegewezen locatie(s) of is bereid zich hierin te verdiepen en kan deze kennis inzetten als expert;</w:t>
            </w:r>
          </w:p>
          <w:p w14:paraId="76A93046" w14:textId="77777777" w:rsidR="00DC6FDF" w:rsidRPr="00265AE9" w:rsidRDefault="00DC6FDF" w:rsidP="00DC6FDF">
            <w:pPr>
              <w:numPr>
                <w:ilvl w:val="0"/>
                <w:numId w:val="2"/>
              </w:numPr>
              <w:spacing w:after="0" w:line="27" w:lineRule="atLeast"/>
              <w:contextualSpacing/>
              <w:rPr>
                <w:rFonts w:ascii="Titillium" w:hAnsi="Titillium"/>
                <w:sz w:val="20"/>
                <w:szCs w:val="20"/>
                <w:lang w:val="nl-BE"/>
              </w:rPr>
            </w:pPr>
            <w:r w:rsidRPr="00265AE9">
              <w:rPr>
                <w:rFonts w:ascii="Titillium" w:hAnsi="Titillium"/>
                <w:sz w:val="20"/>
                <w:szCs w:val="20"/>
                <w:lang w:val="nl-BE"/>
              </w:rPr>
              <w:t>legt spontane en logische verbanden tussen heden, verleden en toekomst;</w:t>
            </w:r>
          </w:p>
          <w:p w14:paraId="53ADED42" w14:textId="77777777" w:rsidR="00DC6FDF" w:rsidRPr="00265AE9" w:rsidRDefault="00DC6FDF" w:rsidP="00DC6FDF">
            <w:pPr>
              <w:numPr>
                <w:ilvl w:val="0"/>
                <w:numId w:val="2"/>
              </w:numPr>
              <w:spacing w:after="0" w:line="27" w:lineRule="atLeast"/>
              <w:contextualSpacing/>
              <w:rPr>
                <w:rFonts w:ascii="Titillium" w:hAnsi="Titillium"/>
                <w:sz w:val="20"/>
                <w:szCs w:val="20"/>
                <w:lang w:val="nl-BE"/>
              </w:rPr>
            </w:pPr>
            <w:r w:rsidRPr="00265AE9">
              <w:rPr>
                <w:rFonts w:ascii="Titillium" w:hAnsi="Titillium"/>
                <w:sz w:val="20"/>
                <w:szCs w:val="20"/>
                <w:lang w:val="nl-BE"/>
              </w:rPr>
              <w:t xml:space="preserve">heeft notie van de geschiedenis van Bokrijk en de inhoudelijke </w:t>
            </w:r>
            <w:r>
              <w:rPr>
                <w:rFonts w:ascii="Titillium" w:hAnsi="Titillium"/>
                <w:sz w:val="20"/>
                <w:szCs w:val="20"/>
                <w:lang w:val="nl-BE"/>
              </w:rPr>
              <w:t>missie en visie van het museum</w:t>
            </w:r>
            <w:r w:rsidRPr="00265AE9">
              <w:rPr>
                <w:rFonts w:ascii="Titillium" w:hAnsi="Titillium"/>
                <w:sz w:val="20"/>
                <w:szCs w:val="20"/>
                <w:lang w:val="nl-BE"/>
              </w:rPr>
              <w:t>.</w:t>
            </w:r>
          </w:p>
        </w:tc>
      </w:tr>
    </w:tbl>
    <w:p w14:paraId="1C14E4AF" w14:textId="0D6AD0BA" w:rsidR="00B16297" w:rsidRDefault="00B16297"/>
    <w:p w14:paraId="2E15E8F3" w14:textId="15E73958" w:rsidR="00AF6058" w:rsidRDefault="00AF6058" w:rsidP="00AF6058">
      <w:r>
        <w:t xml:space="preserve">Ben jij de geschikte kandidaat? Mail je gemotiveerde sollicitatiebrief, cv en foto naar </w:t>
      </w:r>
      <w:hyperlink r:id="rId5" w:history="1">
        <w:r>
          <w:rPr>
            <w:rStyle w:val="Hyperlink"/>
          </w:rPr>
          <w:t>anka.vanrijt@limburg.be</w:t>
        </w:r>
      </w:hyperlink>
      <w:r>
        <w:t xml:space="preserve">. </w:t>
      </w:r>
    </w:p>
    <w:p w14:paraId="55D623CB" w14:textId="77777777" w:rsidR="00AF6058" w:rsidRDefault="00AF6058"/>
    <w:sectPr w:rsidR="00AF6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B91271"/>
    <w:multiLevelType w:val="hybridMultilevel"/>
    <w:tmpl w:val="6D6ADD8E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9942B7"/>
    <w:multiLevelType w:val="hybridMultilevel"/>
    <w:tmpl w:val="6B96ED16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CE221F"/>
    <w:multiLevelType w:val="hybridMultilevel"/>
    <w:tmpl w:val="46D6F95A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166A44"/>
    <w:multiLevelType w:val="hybridMultilevel"/>
    <w:tmpl w:val="F3245B1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A73B28"/>
    <w:multiLevelType w:val="hybridMultilevel"/>
    <w:tmpl w:val="7ADA752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DF"/>
    <w:rsid w:val="00131824"/>
    <w:rsid w:val="006B182B"/>
    <w:rsid w:val="00AF6058"/>
    <w:rsid w:val="00B16297"/>
    <w:rsid w:val="00DA4E21"/>
    <w:rsid w:val="00DC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EF3B"/>
  <w15:chartTrackingRefBased/>
  <w15:docId w15:val="{2B04011F-4E7C-4661-B392-0712495B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C6FDF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C6FDF"/>
    <w:pPr>
      <w:ind w:left="720"/>
      <w:contextualSpacing/>
    </w:pPr>
  </w:style>
  <w:style w:type="table" w:customStyle="1" w:styleId="Tabelraster2">
    <w:name w:val="Tabelraster2"/>
    <w:basedOn w:val="Standaardtabel"/>
    <w:next w:val="Tabelraster"/>
    <w:uiPriority w:val="59"/>
    <w:rsid w:val="00DC6FDF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DC6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semiHidden/>
    <w:unhideWhenUsed/>
    <w:rsid w:val="00AF60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61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ka.vanrijt@limburg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Ubachs Marleen</dc:creator>
  <cp:keywords/>
  <dc:description/>
  <cp:lastModifiedBy>Both Chelsey</cp:lastModifiedBy>
  <cp:revision>2</cp:revision>
  <dcterms:created xsi:type="dcterms:W3CDTF">2022-03-16T15:07:00Z</dcterms:created>
  <dcterms:modified xsi:type="dcterms:W3CDTF">2022-03-16T15:07:00Z</dcterms:modified>
</cp:coreProperties>
</file>